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2961" w:right="2956"/>
        <w:jc w:val="center"/>
        <w:spacing w:before="1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COTAÇÃO DE PREÇOS Nº </w:t>
      </w:r>
      <w:r>
        <w:rPr>
          <w:color w:val="000000" w:themeColor="text1"/>
          <w:sz w:val="20"/>
          <w:szCs w:val="20"/>
        </w:rPr>
        <w:t xml:space="preserve">002/2026</w:t>
      </w:r>
      <w:r>
        <w:rPr>
          <w:color w:val="000000" w:themeColor="text1"/>
        </w:rPr>
      </w:r>
      <w:r/>
    </w:p>
    <w:p>
      <w:pPr>
        <w:rPr>
          <w:rFonts w:ascii="Arial" w:hAnsi="Arial" w:eastAsia="Arial" w:cs="Arial"/>
          <w:b/>
          <w:color w:val="000000" w:themeColor="text1"/>
          <w:sz w:val="20"/>
          <w:szCs w:val="20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0"/>
          <w:szCs w:val="20"/>
          <w:highlight w:val="yellow"/>
        </w:rPr>
      </w:r>
      <w:r>
        <w:rPr>
          <w:color w:val="000000" w:themeColor="text1"/>
        </w:rPr>
      </w:r>
      <w:r/>
    </w:p>
    <w:p>
      <w:pPr>
        <w:spacing w:before="10"/>
        <w:rPr>
          <w:rFonts w:ascii="Arial" w:hAnsi="Arial" w:eastAsia="Arial" w:cs="Arial"/>
          <w:b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p>
      <w:pPr>
        <w:ind w:left="116" w:right="9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SCPAR Porto de Imbituba S.A. torna público que realizará, nos termos da Lei nº 13.303/2016, Lei Complementar nº 123/2006 e de seu Regulamento de Licitações e Contratos, cotação de preços para </w:t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Aquisição de placas e letreiro institucional em aço inox</w:t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conforme condições estabelecidas nesta instrução e no Termo de Referência e seu anexo. Os documentos relacionados a seguir fazem parte integrante desta Cotação de Preços:</w:t>
      </w:r>
      <w:r>
        <w:rPr>
          <w:color w:val="000000" w:themeColor="text1"/>
        </w:rPr>
      </w:r>
      <w:r/>
    </w:p>
    <w:p>
      <w:pPr>
        <w:ind w:left="116" w:right="9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p>
      <w:pPr>
        <w:ind w:left="116" w:right="90" w:firstLine="0"/>
        <w:keepLines/>
        <w:spacing w:line="251" w:lineRule="auto"/>
        <w:rPr>
          <w:rFonts w:ascii="Arial" w:hAnsi="Arial" w:eastAsia="Arial" w:cs="Arial"/>
          <w:b w:val="0"/>
          <w:bCs w:val="0"/>
          <w:color w:val="000000" w:themeColor="text1"/>
          <w:sz w:val="20"/>
          <w:szCs w:val="20"/>
          <w14:ligatures w14:val="none"/>
        </w:rPr>
      </w:pPr>
      <w:r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Anexo I </w:t>
      </w:r>
      <w:r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- </w:t>
      </w:r>
      <w:r>
        <w:rPr>
          <w:rFonts w:ascii="Arial" w:hAnsi="Arial" w:eastAsia="Arial" w:cs="Arial"/>
          <w:b w:val="0"/>
          <w:bCs w:val="0"/>
          <w:color w:val="000000" w:themeColor="text1"/>
          <w:sz w:val="20"/>
          <w:szCs w:val="20"/>
        </w:rPr>
        <w:t xml:space="preserve">Termo de Referência;</w:t>
      </w:r>
      <w:r>
        <w:rPr>
          <w:color w:val="000000" w:themeColor="text1"/>
        </w:rPr>
      </w:r>
      <w:r/>
    </w:p>
    <w:p>
      <w:pPr>
        <w:ind w:left="116" w:right="90" w:firstLine="0"/>
        <w:keepLines/>
        <w:spacing w:line="251" w:lineRule="auto"/>
        <w:rPr>
          <w:rFonts w:ascii="Arial" w:hAnsi="Arial" w:eastAsia="Arial" w:cs="Arial"/>
          <w:b w:val="0"/>
          <w:bCs w:val="0"/>
          <w:color w:val="000000" w:themeColor="text1"/>
          <w:sz w:val="20"/>
          <w:szCs w:val="20"/>
          <w14:ligatures w14:val="none"/>
        </w:rPr>
      </w:pPr>
      <w:r>
        <w:rPr>
          <w:rFonts w:ascii="Arial" w:hAnsi="Arial" w:eastAsia="Arial" w:cs="Arial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Arial" w:hAnsi="Arial" w:eastAsia="Arial" w:cs="Arial"/>
          <w:b w:val="0"/>
          <w:bCs w:val="0"/>
          <w:color w:val="000000" w:themeColor="text1"/>
          <w:sz w:val="20"/>
          <w:szCs w:val="20"/>
          <w:highlight w:val="none"/>
        </w:rPr>
      </w:r>
    </w:p>
    <w:p>
      <w:pPr>
        <w:ind w:left="0" w:right="90" w:firstLine="0"/>
        <w:keepLines/>
        <w:spacing w:line="251" w:lineRule="auto"/>
        <w:rPr>
          <w:rFonts w:ascii="Arial" w:hAnsi="Arial" w:eastAsia="Arial" w:cs="Arial"/>
          <w:b w:val="0"/>
          <w:bCs w:val="0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 Anexo II - </w:t>
      </w:r>
      <w:r>
        <w:rPr>
          <w:rFonts w:ascii="Arial" w:hAnsi="Arial" w:eastAsia="Arial" w:cs="Arial"/>
          <w:b w:val="0"/>
          <w:bCs w:val="0"/>
          <w:color w:val="000000" w:themeColor="text1"/>
          <w:sz w:val="20"/>
          <w:szCs w:val="20"/>
        </w:rPr>
        <w:t xml:space="preserve">Modelo de proposta de preço</w:t>
      </w:r>
      <w:r>
        <w:rPr>
          <w:color w:val="000000" w:themeColor="text1"/>
        </w:rPr>
      </w:r>
      <w:r/>
    </w:p>
    <w:p>
      <w:pPr>
        <w:ind w:left="116" w:right="90" w:firstLine="0"/>
        <w:jc w:val="both"/>
        <w:keepLines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9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ind w:left="0" w:right="90" w:firstLine="0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1. DO OBJETO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116" w:right="90" w:firstLine="0"/>
        <w:spacing w:before="105"/>
        <w:tabs>
          <w:tab w:val="left" w:pos="830" w:leader="none"/>
        </w:tabs>
        <w:rPr>
          <w:rFonts w:ascii="Arial" w:hAnsi="Arial" w:cs="Arial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1.1 -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Aquisição de placas e letreiro institucional em aço inox</w:t>
      </w:r>
      <w:r>
        <w:rPr>
          <w:rFonts w:ascii="Arial" w:hAnsi="Arial" w:cs="Arial"/>
          <w:color w:val="000000" w:themeColor="text1"/>
          <w:sz w:val="20"/>
          <w:szCs w:val="20"/>
        </w:rPr>
      </w:r>
      <w:r/>
    </w:p>
    <w:p>
      <w:pPr>
        <w:ind w:left="116" w:right="90" w:firstLine="0"/>
        <w:spacing w:before="105"/>
        <w:rPr>
          <w:rFonts w:ascii="Arial" w:hAnsi="Arial" w:cs="Arial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  <w:highlight w:val="none"/>
        </w:rPr>
      </w:r>
      <w:r>
        <w:rPr>
          <w:rFonts w:ascii="Arial" w:hAnsi="Arial" w:cs="Arial"/>
          <w:color w:val="000000" w:themeColor="text1"/>
          <w:sz w:val="20"/>
          <w:szCs w:val="20"/>
          <w:highlight w:val="none"/>
        </w:rPr>
      </w:r>
      <w:r/>
    </w:p>
    <w:tbl>
      <w:tblPr>
        <w:tblStyle w:val="870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ind w:left="0" w:right="90" w:firstLine="0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2. DOS PRAZOS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116" w:right="90" w:firstLine="0"/>
        <w:spacing w:before="105"/>
        <w:tabs>
          <w:tab w:val="left" w:pos="830" w:leader="none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2.1 - Acolhimento das propostas: a partir d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as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08h00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03/03/2026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;</w:t>
      </w:r>
      <w:r>
        <w:rPr>
          <w:b/>
          <w:bCs/>
          <w:color w:val="000000" w:themeColor="text1"/>
        </w:rPr>
      </w:r>
      <w:r/>
    </w:p>
    <w:p>
      <w:pPr>
        <w:ind w:left="116" w:right="90" w:firstLine="0"/>
        <w:spacing w:before="119"/>
        <w:tabs>
          <w:tab w:val="left" w:pos="830" w:leader="none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2.2 - Prazo limite para acolhimento das propostas: até as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17h30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 05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/03/2026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;</w:t>
      </w:r>
      <w:r>
        <w:rPr>
          <w:b/>
          <w:bCs/>
          <w:color w:val="000000" w:themeColor="text1"/>
        </w:rPr>
      </w:r>
      <w:r/>
    </w:p>
    <w:p>
      <w:pPr>
        <w:ind w:left="116" w:right="90" w:firstLine="0"/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71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ind w:left="0" w:right="90" w:firstLine="0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3. CRITÉRIO DE JULGAMENTO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116" w:right="90" w:firstLine="0"/>
        <w:spacing w:before="105"/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3.1 - O critério de julgamento das propostas será o de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menor valor global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</w:rPr>
      </w:r>
      <w:r/>
    </w:p>
    <w:p>
      <w:pPr>
        <w:ind w:left="116" w:right="90" w:firstLine="0"/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72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ind w:left="0" w:right="90" w:firstLine="0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4. DA PROPOSTA DE PREÇOS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116" w:right="90" w:firstLine="0"/>
        <w:jc w:val="both"/>
        <w:spacing w:before="105"/>
        <w:tabs>
          <w:tab w:val="left" w:pos="770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4.1 - Os Proponentes deverão encaminhar a proposta de preços, conforme modelo do Anexo II, devidamente preenchida com os seus preços de forma legível, sendo assinada preferencialmente com certificado digital e enviada para o e-mail: </w:t>
      </w:r>
      <w:hyperlink r:id="rId11" w:tooltip="mailto:licitacoes@portodeimbituba.com.br" w:history="1">
        <w:r>
          <w:rPr>
            <w:rFonts w:ascii="Arial" w:hAnsi="Arial" w:cs="Arial"/>
            <w:color w:val="000000" w:themeColor="text1"/>
            <w:sz w:val="20"/>
            <w:szCs w:val="20"/>
          </w:rPr>
          <w:t xml:space="preserve">licitacoes@portodeimbituba.com.br 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dentro dos prazos estabelecidos. É de responsabilidade total dos Proponentes encaminharem apenas propostas de preços que atendam às exigências contidas nas especificações do objeto em questão.</w:t>
      </w:r>
      <w:r>
        <w:rPr>
          <w:color w:val="000000" w:themeColor="text1"/>
        </w:rPr>
      </w:r>
      <w:r/>
    </w:p>
    <w:p>
      <w:pPr>
        <w:ind w:left="116" w:right="90" w:firstLine="0"/>
        <w:jc w:val="both"/>
        <w:spacing w:before="120"/>
        <w:tabs>
          <w:tab w:val="left" w:pos="794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4.2 - O Prazo de validade da proposta de preços não poderá ser inferior a 30 (trinta) dias, a contar da data final para o encaminhamento da proposta de preços e, na sua omissão, será considerado 30 (trinta) dias.</w:t>
      </w:r>
      <w:r>
        <w:rPr>
          <w:color w:val="000000" w:themeColor="text1"/>
        </w:rPr>
      </w:r>
      <w:r/>
    </w:p>
    <w:p>
      <w:pPr>
        <w:ind w:left="116" w:right="90" w:firstLine="0"/>
        <w:jc w:val="both"/>
        <w:spacing w:before="120"/>
        <w:tabs>
          <w:tab w:val="left" w:pos="789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4.3 - A proposta de preços deverá conter preço unitário e total por item, expresso 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 moeda corrente nacional, contendo no máximo 2 (duas) casas decimais, incluindo todas as despesas tais como: impostos, taxas, seguro, transporte/entrega com frete CIF, e quaisquer outras que forem devidas relativas ao objeto da presente Cotação de Preços.</w:t>
      </w:r>
      <w:r>
        <w:rPr>
          <w:color w:val="000000" w:themeColor="text1"/>
        </w:rPr>
      </w:r>
      <w:r/>
    </w:p>
    <w:p>
      <w:pPr>
        <w:ind w:left="116" w:right="90" w:firstLine="0"/>
        <w:jc w:val="both"/>
        <w:spacing w:before="121"/>
        <w:tabs>
          <w:tab w:val="left" w:pos="832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4.4 - A apresentação da proposta de preços implicará na plena aceitação, por parte do Proponente, das condições estabelecidas nesta Instrução e seus Anexos, e aos termos constantes no Regulamento de Licitações e Contratos da SCPAR Porto de Imbituba S.A.</w:t>
      </w:r>
      <w:r>
        <w:rPr>
          <w:color w:val="000000" w:themeColor="text1"/>
        </w:rPr>
      </w:r>
      <w:r/>
    </w:p>
    <w:p>
      <w:pPr>
        <w:ind w:left="116" w:right="90" w:firstLine="0"/>
        <w:jc w:val="both"/>
        <w:spacing w:before="119"/>
        <w:tabs>
          <w:tab w:val="left" w:pos="798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4.5 - Não serão consideradas aquelas propostas que não estejam em conformidade com os requisitos estabelecidos neste documento e de seus Anexos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</w:rPr>
      </w:r>
      <w:r/>
    </w:p>
    <w:p>
      <w:pPr>
        <w:ind w:left="116" w:right="90" w:firstLine="0"/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73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ind w:left="0" w:right="90" w:firstLine="0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5. DOS DOCUMENTOS PARA A CONTRATAÇÃO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116" w:right="90" w:firstLine="0"/>
        <w:jc w:val="left"/>
        <w:spacing w:before="102"/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5.1 - Ao enviar a Cotação de Preços, a interessada deverá estar ciente que, em caso de contratação, será solicitada, conforme o caso:</w:t>
      </w:r>
      <w:r>
        <w:rPr>
          <w:rFonts w:ascii="Arial" w:hAnsi="Arial" w:cs="Arial"/>
          <w:color w:val="000000" w:themeColor="text1"/>
          <w:sz w:val="20"/>
          <w:szCs w:val="20"/>
          <w:highlight w:val="none"/>
        </w:rPr>
      </w:r>
      <w:r/>
    </w:p>
    <w:p>
      <w:pPr>
        <w:ind w:left="0" w:right="90" w:firstLine="0"/>
        <w:jc w:val="left"/>
        <w:spacing w:before="102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5.2 - Documentação apta a comprovar o cumprimento dos requisitos de habilitação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conforme artigo 113 do  Regulamento de Licitações e Contratos da SCPAR Porto de Imbituba S.A., disponível no site </w:t>
      </w:r>
      <w:hyperlink r:id="rId12" w:tooltip="http://www.portodeimbituba.com.br/" w:history="1">
        <w:r>
          <w:rPr>
            <w:rFonts w:ascii="Arial" w:hAnsi="Arial" w:cs="Arial"/>
            <w:color w:val="000000" w:themeColor="text1"/>
            <w:sz w:val="20"/>
            <w:szCs w:val="20"/>
          </w:rPr>
          <w:t xml:space="preserve">www.portodeimbituba.com.br, </w:t>
        </w:r>
      </w:hyperlink>
      <w:r>
        <w:rPr>
          <w:rFonts w:ascii="Arial" w:hAnsi="Arial" w:eastAsia="Arial" w:cs="Arial"/>
          <w:i/>
          <w:color w:val="000000" w:themeColor="text1"/>
          <w:sz w:val="20"/>
          <w:szCs w:val="20"/>
        </w:rPr>
        <w:t xml:space="preserve">link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transparência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).</w:t>
      </w:r>
      <w:r>
        <w:rPr>
          <w:color w:val="000000" w:themeColor="text1"/>
        </w:rPr>
      </w:r>
      <w:r/>
    </w:p>
    <w:sectPr>
      <w:headerReference w:type="default" r:id="rId9"/>
      <w:footnotePr/>
      <w:endnotePr/>
      <w:type w:val="nextPage"/>
      <w:pgSz w:w="11910" w:h="16840" w:orient="portrait"/>
      <w:pgMar w:top="1660" w:right="740" w:bottom="280" w:left="1300" w:header="321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Georgia">
    <w:panose1 w:val="02040502050405020303"/>
  </w:font>
  <w:font w:name="Arial">
    <w:panose1 w:val="020B0604020202020204"/>
  </w:font>
  <w:font w:name="Arial MT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  <w:rPr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284032</wp:posOffset>
              </wp:positionH>
              <wp:positionV relativeFrom="page">
                <wp:posOffset>223583</wp:posOffset>
              </wp:positionV>
              <wp:extent cx="573847" cy="470471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847" cy="47047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page;margin-left:22.4pt;mso-position-horizontal:absolute;mso-position-vertical-relative:page;margin-top:17.6pt;mso-position-vertical:absolute;width:45.2pt;height:37.0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16" w:hanging="370"/>
      </w:pPr>
    </w:lvl>
    <w:lvl w:ilvl="1">
      <w:start w:val="1"/>
      <w:numFmt w:val="decimal"/>
      <w:isLgl w:val="false"/>
      <w:suff w:val="tab"/>
      <w:lvlText w:val="%1.%2"/>
      <w:lvlJc w:val="left"/>
      <w:pPr>
        <w:ind w:left="116" w:hanging="370"/>
      </w:pPr>
      <w:rPr>
        <w:rFonts w:ascii="Arial MT" w:hAnsi="Arial MT" w:eastAsia="Arial MT" w:cs="Arial MT"/>
        <w:sz w:val="22"/>
        <w:szCs w:val="22"/>
      </w:rPr>
    </w:lvl>
    <w:lvl w:ilvl="2">
      <w:start w:val="1"/>
      <w:numFmt w:val="bullet"/>
      <w:isLgl w:val="false"/>
      <w:suff w:val="tab"/>
      <w:lvlText w:val="•"/>
      <w:lvlJc w:val="left"/>
      <w:pPr>
        <w:ind w:left="2069" w:hanging="370"/>
      </w:pPr>
    </w:lvl>
    <w:lvl w:ilvl="3">
      <w:start w:val="1"/>
      <w:numFmt w:val="bullet"/>
      <w:isLgl w:val="false"/>
      <w:suff w:val="tab"/>
      <w:lvlText w:val="•"/>
      <w:lvlJc w:val="left"/>
      <w:pPr>
        <w:ind w:left="3043" w:hanging="370"/>
      </w:pPr>
    </w:lvl>
    <w:lvl w:ilvl="4">
      <w:start w:val="1"/>
      <w:numFmt w:val="bullet"/>
      <w:isLgl w:val="false"/>
      <w:suff w:val="tab"/>
      <w:lvlText w:val="•"/>
      <w:lvlJc w:val="left"/>
      <w:pPr>
        <w:ind w:left="4018" w:hanging="370"/>
      </w:pPr>
    </w:lvl>
    <w:lvl w:ilvl="5">
      <w:start w:val="1"/>
      <w:numFmt w:val="bullet"/>
      <w:isLgl w:val="false"/>
      <w:suff w:val="tab"/>
      <w:lvlText w:val="•"/>
      <w:lvlJc w:val="left"/>
      <w:pPr>
        <w:ind w:left="4993" w:hanging="370"/>
      </w:pPr>
    </w:lvl>
    <w:lvl w:ilvl="6">
      <w:start w:val="1"/>
      <w:numFmt w:val="bullet"/>
      <w:isLgl w:val="false"/>
      <w:suff w:val="tab"/>
      <w:lvlText w:val="•"/>
      <w:lvlJc w:val="left"/>
      <w:pPr>
        <w:ind w:left="5967" w:hanging="370"/>
      </w:pPr>
    </w:lvl>
    <w:lvl w:ilvl="7">
      <w:start w:val="1"/>
      <w:numFmt w:val="bullet"/>
      <w:isLgl w:val="false"/>
      <w:suff w:val="tab"/>
      <w:lvlText w:val="•"/>
      <w:lvlJc w:val="left"/>
      <w:pPr>
        <w:ind w:left="6942" w:hanging="370"/>
      </w:pPr>
    </w:lvl>
    <w:lvl w:ilvl="8">
      <w:start w:val="1"/>
      <w:numFmt w:val="bullet"/>
      <w:isLgl w:val="false"/>
      <w:suff w:val="tab"/>
      <w:lvlText w:val="•"/>
      <w:lvlJc w:val="left"/>
      <w:pPr>
        <w:ind w:left="7917" w:hanging="37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829" w:hanging="429"/>
      </w:pPr>
    </w:lvl>
    <w:lvl w:ilvl="1">
      <w:start w:val="1"/>
      <w:numFmt w:val="decimal"/>
      <w:isLgl w:val="false"/>
      <w:suff w:val="tab"/>
      <w:lvlText w:val="%1.%2."/>
      <w:lvlJc w:val="left"/>
      <w:pPr>
        <w:ind w:left="829" w:hanging="429"/>
      </w:pPr>
      <w:rPr>
        <w:rFonts w:ascii="Arial MT" w:hAnsi="Arial MT" w:eastAsia="Arial MT" w:cs="Arial MT"/>
        <w:sz w:val="22"/>
        <w:szCs w:val="22"/>
      </w:rPr>
    </w:lvl>
    <w:lvl w:ilvl="2">
      <w:start w:val="1"/>
      <w:numFmt w:val="bullet"/>
      <w:isLgl w:val="false"/>
      <w:suff w:val="tab"/>
      <w:lvlText w:val="•"/>
      <w:lvlJc w:val="left"/>
      <w:pPr>
        <w:ind w:left="2629" w:hanging="430"/>
      </w:pPr>
    </w:lvl>
    <w:lvl w:ilvl="3">
      <w:start w:val="1"/>
      <w:numFmt w:val="bullet"/>
      <w:isLgl w:val="false"/>
      <w:suff w:val="tab"/>
      <w:lvlText w:val="•"/>
      <w:lvlJc w:val="left"/>
      <w:pPr>
        <w:ind w:left="3533" w:hanging="430"/>
      </w:pPr>
    </w:lvl>
    <w:lvl w:ilvl="4">
      <w:start w:val="1"/>
      <w:numFmt w:val="bullet"/>
      <w:isLgl w:val="false"/>
      <w:suff w:val="tab"/>
      <w:lvlText w:val="•"/>
      <w:lvlJc w:val="left"/>
      <w:pPr>
        <w:ind w:left="4438" w:hanging="430"/>
      </w:pPr>
    </w:lvl>
    <w:lvl w:ilvl="5">
      <w:start w:val="1"/>
      <w:numFmt w:val="bullet"/>
      <w:isLgl w:val="false"/>
      <w:suff w:val="tab"/>
      <w:lvlText w:val="•"/>
      <w:lvlJc w:val="left"/>
      <w:pPr>
        <w:ind w:left="5343" w:hanging="430"/>
      </w:pPr>
    </w:lvl>
    <w:lvl w:ilvl="6">
      <w:start w:val="1"/>
      <w:numFmt w:val="bullet"/>
      <w:isLgl w:val="false"/>
      <w:suff w:val="tab"/>
      <w:lvlText w:val="•"/>
      <w:lvlJc w:val="left"/>
      <w:pPr>
        <w:ind w:left="6247" w:hanging="430"/>
      </w:pPr>
    </w:lvl>
    <w:lvl w:ilvl="7">
      <w:start w:val="1"/>
      <w:numFmt w:val="bullet"/>
      <w:isLgl w:val="false"/>
      <w:suff w:val="tab"/>
      <w:lvlText w:val="•"/>
      <w:lvlJc w:val="left"/>
      <w:pPr>
        <w:ind w:left="7152" w:hanging="430"/>
      </w:pPr>
    </w:lvl>
    <w:lvl w:ilvl="8">
      <w:start w:val="1"/>
      <w:numFmt w:val="bullet"/>
      <w:isLgl w:val="false"/>
      <w:suff w:val="tab"/>
      <w:lvlText w:val="•"/>
      <w:lvlJc w:val="left"/>
      <w:pPr>
        <w:ind w:left="8057" w:hanging="43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666666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666666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666666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666666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666666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666666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666666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666666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666666"/>
        <w:sz w:val="17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666666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666666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666666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666666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666666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666666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666666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666666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666666"/>
        <w:sz w:val="17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7">
    <w:name w:val="Heading 1 Char"/>
    <w:basedOn w:val="841"/>
    <w:link w:val="835"/>
    <w:uiPriority w:val="9"/>
    <w:rPr>
      <w:rFonts w:ascii="Arial" w:hAnsi="Arial" w:eastAsia="Arial" w:cs="Arial"/>
      <w:sz w:val="40"/>
      <w:szCs w:val="40"/>
    </w:rPr>
  </w:style>
  <w:style w:type="character" w:styleId="668">
    <w:name w:val="Heading 2 Char"/>
    <w:basedOn w:val="841"/>
    <w:link w:val="836"/>
    <w:uiPriority w:val="9"/>
    <w:rPr>
      <w:rFonts w:ascii="Arial" w:hAnsi="Arial" w:eastAsia="Arial" w:cs="Arial"/>
      <w:sz w:val="34"/>
    </w:rPr>
  </w:style>
  <w:style w:type="character" w:styleId="669">
    <w:name w:val="Heading 3 Char"/>
    <w:basedOn w:val="841"/>
    <w:link w:val="837"/>
    <w:uiPriority w:val="9"/>
    <w:rPr>
      <w:rFonts w:ascii="Arial" w:hAnsi="Arial" w:eastAsia="Arial" w:cs="Arial"/>
      <w:sz w:val="30"/>
      <w:szCs w:val="30"/>
    </w:rPr>
  </w:style>
  <w:style w:type="character" w:styleId="670">
    <w:name w:val="Heading 4 Char"/>
    <w:basedOn w:val="841"/>
    <w:link w:val="838"/>
    <w:uiPriority w:val="9"/>
    <w:rPr>
      <w:rFonts w:ascii="Arial" w:hAnsi="Arial" w:eastAsia="Arial" w:cs="Arial"/>
      <w:b/>
      <w:bCs/>
      <w:sz w:val="26"/>
      <w:szCs w:val="26"/>
    </w:rPr>
  </w:style>
  <w:style w:type="character" w:styleId="671">
    <w:name w:val="Heading 5 Char"/>
    <w:basedOn w:val="841"/>
    <w:link w:val="839"/>
    <w:uiPriority w:val="9"/>
    <w:rPr>
      <w:rFonts w:ascii="Arial" w:hAnsi="Arial" w:eastAsia="Arial" w:cs="Arial"/>
      <w:b/>
      <w:bCs/>
      <w:sz w:val="24"/>
      <w:szCs w:val="24"/>
    </w:rPr>
  </w:style>
  <w:style w:type="character" w:styleId="672">
    <w:name w:val="Heading 6 Char"/>
    <w:basedOn w:val="841"/>
    <w:link w:val="840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41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41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4"/>
    <w:next w:val="834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41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No Spacing"/>
    <w:uiPriority w:val="1"/>
    <w:qFormat/>
    <w:pPr>
      <w:spacing w:before="0" w:after="0" w:line="240" w:lineRule="auto"/>
    </w:pPr>
  </w:style>
  <w:style w:type="character" w:styleId="680">
    <w:name w:val="Title Char"/>
    <w:basedOn w:val="841"/>
    <w:link w:val="845"/>
    <w:uiPriority w:val="10"/>
    <w:rPr>
      <w:sz w:val="48"/>
      <w:szCs w:val="48"/>
    </w:rPr>
  </w:style>
  <w:style w:type="character" w:styleId="681">
    <w:name w:val="Subtitle Char"/>
    <w:basedOn w:val="841"/>
    <w:link w:val="858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41"/>
    <w:link w:val="874"/>
    <w:uiPriority w:val="99"/>
  </w:style>
  <w:style w:type="character" w:styleId="687">
    <w:name w:val="Footer Char"/>
    <w:basedOn w:val="841"/>
    <w:link w:val="87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76"/>
    <w:uiPriority w:val="99"/>
  </w:style>
  <w:style w:type="table" w:styleId="690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41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41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uiPriority w:val="1"/>
    <w:qFormat/>
    <w:rPr>
      <w:lang w:eastAsia="en-US"/>
    </w:rPr>
  </w:style>
  <w:style w:type="paragraph" w:styleId="835">
    <w:name w:val="Heading 1"/>
    <w:basedOn w:val="834"/>
    <w:uiPriority w:val="1"/>
    <w:qFormat/>
    <w:pPr>
      <w:ind w:left="108"/>
      <w:spacing w:before="120"/>
      <w:outlineLvl w:val="0"/>
    </w:pPr>
    <w:rPr>
      <w:rFonts w:ascii="Arial" w:hAnsi="Arial" w:eastAsia="Arial" w:cs="Arial"/>
      <w:b/>
      <w:bCs/>
    </w:rPr>
  </w:style>
  <w:style w:type="paragraph" w:styleId="836">
    <w:name w:val="Heading 2"/>
    <w:basedOn w:val="834"/>
    <w:next w:val="834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37">
    <w:name w:val="Heading 3"/>
    <w:basedOn w:val="834"/>
    <w:next w:val="834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38">
    <w:name w:val="Heading 4"/>
    <w:basedOn w:val="834"/>
    <w:next w:val="834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39">
    <w:name w:val="Heading 5"/>
    <w:basedOn w:val="834"/>
    <w:next w:val="834"/>
    <w:pPr>
      <w:keepLines/>
      <w:keepNext/>
      <w:spacing w:before="220" w:after="40"/>
      <w:outlineLvl w:val="4"/>
    </w:pPr>
    <w:rPr>
      <w:b/>
    </w:rPr>
  </w:style>
  <w:style w:type="paragraph" w:styleId="840">
    <w:name w:val="Heading 6"/>
    <w:basedOn w:val="834"/>
    <w:next w:val="834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table" w:styleId="84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5">
    <w:name w:val="Title"/>
    <w:basedOn w:val="834"/>
    <w:next w:val="834"/>
    <w:pPr>
      <w:keepLines/>
      <w:keepNext/>
      <w:spacing w:before="480" w:after="120"/>
    </w:pPr>
    <w:rPr>
      <w:b/>
      <w:sz w:val="72"/>
      <w:szCs w:val="72"/>
    </w:rPr>
  </w:style>
  <w:style w:type="table" w:styleId="84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5">
    <w:name w:val="Body Text"/>
    <w:basedOn w:val="834"/>
    <w:uiPriority w:val="1"/>
    <w:qFormat/>
  </w:style>
  <w:style w:type="paragraph" w:styleId="856">
    <w:name w:val="List Paragraph"/>
    <w:basedOn w:val="834"/>
    <w:uiPriority w:val="1"/>
    <w:qFormat/>
    <w:pPr>
      <w:ind w:left="116" w:firstLine="283"/>
      <w:jc w:val="both"/>
      <w:spacing w:before="105"/>
    </w:pPr>
  </w:style>
  <w:style w:type="paragraph" w:styleId="857" w:customStyle="1">
    <w:name w:val="Table Paragraph"/>
    <w:basedOn w:val="834"/>
    <w:uiPriority w:val="1"/>
    <w:qFormat/>
  </w:style>
  <w:style w:type="paragraph" w:styleId="858">
    <w:name w:val="Subtitle"/>
    <w:basedOn w:val="834"/>
    <w:next w:val="834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59" w:customStyle="1">
    <w:name w:val="StGen0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0" w:customStyle="1">
    <w:name w:val="StGen1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1" w:customStyle="1">
    <w:name w:val="StGen2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2" w:customStyle="1">
    <w:name w:val="StGen3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3" w:customStyle="1">
    <w:name w:val="StGen4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4" w:customStyle="1">
    <w:name w:val="StGen5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5" w:customStyle="1">
    <w:name w:val="StGen6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6" w:customStyle="1">
    <w:name w:val="StGen7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7" w:customStyle="1">
    <w:name w:val="StGen8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8" w:customStyle="1">
    <w:name w:val="StGen9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9" w:customStyle="1">
    <w:name w:val="StGen10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70" w:customStyle="1">
    <w:name w:val="StGen11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71" w:customStyle="1">
    <w:name w:val="StGen12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72" w:customStyle="1">
    <w:name w:val="StGen13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73" w:customStyle="1">
    <w:name w:val="StGen14"/>
    <w:basedOn w:val="85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874">
    <w:name w:val="Header"/>
    <w:basedOn w:val="834"/>
    <w:link w:val="87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5" w:customStyle="1">
    <w:name w:val="Cabeçalho Char"/>
    <w:basedOn w:val="841"/>
    <w:link w:val="874"/>
    <w:uiPriority w:val="99"/>
    <w:rPr>
      <w:lang w:eastAsia="en-US"/>
    </w:rPr>
  </w:style>
  <w:style w:type="paragraph" w:styleId="876">
    <w:name w:val="Footer"/>
    <w:basedOn w:val="834"/>
    <w:link w:val="87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7" w:customStyle="1">
    <w:name w:val="Rodapé Char"/>
    <w:basedOn w:val="841"/>
    <w:link w:val="876"/>
    <w:uiPriority w:val="99"/>
    <w:rPr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licitacoes@portodeimbituba.com.br" TargetMode="External"/><Relationship Id="rId12" Type="http://schemas.openxmlformats.org/officeDocument/2006/relationships/hyperlink" Target="http://www.portodeimbituba.com.b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NYuA/0Y36WpauiNVtw+LfIM/A==">CgMxLjA4AHIhMXNMeHdIdV9VMkhaaU1JZUIxUTQwcTNyUzdJQ3VYYm1q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Luis Fernando da Silva</cp:lastModifiedBy>
  <cp:revision>21</cp:revision>
  <dcterms:created xsi:type="dcterms:W3CDTF">2022-11-14T17:10:00Z</dcterms:created>
  <dcterms:modified xsi:type="dcterms:W3CDTF">2026-02-27T12:54:40Z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2022-11-14T00:00:00Z</vt:filetime>
  </property>
</Properties>
</file>