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left="2961" w:right="2956"/>
        <w:jc w:val="center"/>
        <w:spacing w:before="177"/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COTAÇÃO DE PREÇOS Nº </w:t>
      </w:r>
      <w:r>
        <w:rPr>
          <w:color w:val="000000" w:themeColor="text1"/>
          <w:sz w:val="20"/>
          <w:szCs w:val="20"/>
        </w:rPr>
        <w:t xml:space="preserve">0</w:t>
      </w:r>
      <w:r>
        <w:rPr>
          <w:color w:val="000000" w:themeColor="text1"/>
          <w:sz w:val="20"/>
          <w:szCs w:val="20"/>
        </w:rPr>
        <w:t xml:space="preserve">03/20</w:t>
      </w:r>
      <w:r>
        <w:rPr>
          <w:color w:val="000000" w:themeColor="text1"/>
          <w:sz w:val="20"/>
          <w:szCs w:val="20"/>
        </w:rPr>
        <w:t xml:space="preserve">25</w:t>
      </w:r>
      <w:r>
        <w:rPr>
          <w:color w:val="ff0000"/>
        </w:rPr>
      </w:r>
      <w:r/>
    </w:p>
    <w:p>
      <w:pPr>
        <w:rPr>
          <w:rFonts w:ascii="Arial" w:hAnsi="Arial" w:eastAsia="Arial" w:cs="Arial"/>
          <w:b/>
          <w:color w:val="000000" w:themeColor="text1"/>
          <w:sz w:val="20"/>
          <w:szCs w:val="20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0"/>
          <w:szCs w:val="20"/>
          <w:highlight w:val="yellow"/>
        </w:rPr>
      </w:r>
      <w:r>
        <w:rPr>
          <w:color w:val="000000" w:themeColor="text1"/>
        </w:rPr>
      </w:r>
      <w:r/>
    </w:p>
    <w:p>
      <w:pPr>
        <w:spacing w:before="10"/>
        <w:rPr>
          <w:rFonts w:ascii="Arial" w:hAnsi="Arial" w:eastAsia="Arial" w:cs="Arial"/>
          <w:b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0"/>
          <w:szCs w:val="20"/>
        </w:rPr>
      </w:r>
      <w:r>
        <w:rPr>
          <w:color w:val="000000" w:themeColor="text1"/>
        </w:rPr>
      </w:r>
      <w:r/>
    </w:p>
    <w:p>
      <w:pPr>
        <w:ind w:left="116" w:right="10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SCPAR Porto de Imbituba S.A. torna público que realizará, nos termos da Lei nº 13.303/2016, Lei Complementar nº 123/2006 e de seu Regulamento de Licitações e Contratos, cotação de preços para </w:t>
      </w: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Objeto </w:t>
      </w: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Contratação de empresa para fornecimento e aplicação da vacina antigripal (Influenza) QUADRIVALENTE para a imunização dos colaboradores da empresa SCPAR Porto de Imbituba S.A. e  para  os  colaboradores  terceiros  ligado  direto  a  administração  portuári</w:t>
      </w: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a  (secretario(a), copeira e telefonista)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conforme condições estabelecidas nesta instrução e no Termo de Referência. Os documentos relacionados a seguir fazem parte integrante desta Cotação de Preços: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116" w:right="10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116"/>
        <w:spacing w:line="251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Anexo 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Termo de Referência;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116"/>
        <w:spacing w:before="12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Anexo II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Modelo de Proposta de Preço.</w:t>
      </w:r>
      <w:r>
        <w:rPr>
          <w:color w:val="000000" w:themeColor="text1"/>
        </w:rPr>
      </w:r>
      <w:r/>
    </w:p>
    <w:p>
      <w:pPr>
        <w:jc w:val="both"/>
        <w:spacing w:after="120" w:line="276" w:lineRule="auto"/>
        <w:widowControl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/>
    </w:p>
    <w:tbl>
      <w:tblPr>
        <w:tblStyle w:val="863"/>
        <w:tblW w:w="9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>
        <w:trPr/>
        <w:tc>
          <w:tcPr>
            <w:shd w:val="clear" w:color="auto" w:fill="bfbfb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4"/>
              <w:spacing w:before="120" w:after="120" w:line="276" w:lineRule="auto"/>
              <w:widowControl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DO OBJETO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spacing w:before="7"/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/>
    </w:p>
    <w:p>
      <w:pPr>
        <w:ind w:left="0" w:right="0" w:firstLine="0"/>
        <w:jc w:val="both"/>
        <w:spacing w:before="0" w:after="120" w:line="65" w:lineRule="atLeast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0"/>
        </w:rPr>
        <w:t xml:space="preserve">Contratação de empresa para fornecimento e aplicação da vacina antigripal (Influenza) QUADRIVALENTE para a imunização dos colaboradores da empresa SCPAR Porto de Imbituba S.A.e  para  os colaboradores  terceiros  ligado direto  a  administração portuária  </w:t>
      </w:r>
      <w:r>
        <w:rPr>
          <w:rFonts w:ascii="Arial" w:hAnsi="Arial" w:eastAsia="Arial" w:cs="Arial"/>
          <w:b/>
          <w:color w:val="000000"/>
          <w:sz w:val="20"/>
        </w:rPr>
        <w:t xml:space="preserve">(secretario(a), copeira e telefonista),</w:t>
      </w:r>
      <w:r/>
      <w:r>
        <w:rPr>
          <w:rFonts w:ascii="Arial" w:hAnsi="Arial" w:eastAsia="Arial" w:cs="Arial"/>
          <w:b/>
          <w:color w:val="ff0000"/>
          <w:sz w:val="20"/>
          <w:szCs w:val="20"/>
        </w:rPr>
      </w:r>
      <w:r/>
      <w:r>
        <w:rPr>
          <w:sz w:val="22"/>
        </w:rPr>
      </w:r>
    </w:p>
    <w:tbl>
      <w:tblPr>
        <w:tblStyle w:val="864"/>
        <w:tblW w:w="9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>
        <w:trPr/>
        <w:tc>
          <w:tcPr>
            <w:shd w:val="clear" w:color="auto" w:fill="bfbfb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4"/>
              <w:spacing w:before="120" w:after="120" w:line="276" w:lineRule="auto"/>
              <w:widowControl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DOS PRAZOS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numPr>
          <w:ilvl w:val="1"/>
          <w:numId w:val="3"/>
        </w:numPr>
        <w:ind w:hanging="431"/>
        <w:spacing w:before="105"/>
        <w:tabs>
          <w:tab w:val="left" w:pos="830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Acolhimento das propostas: a partir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08h00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17/03/2025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1"/>
          <w:numId w:val="3"/>
        </w:numPr>
        <w:ind w:hanging="431"/>
        <w:spacing w:before="119"/>
        <w:tabs>
          <w:tab w:val="left" w:pos="830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Prazo limite para acolhimento das propostas: até 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17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h30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 19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/03/2025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120" w:line="276" w:lineRule="auto"/>
        <w:widowControl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865"/>
        <w:tblW w:w="9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>
        <w:trPr/>
        <w:tc>
          <w:tcPr>
            <w:shd w:val="clear" w:color="auto" w:fill="bfbfb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4"/>
              <w:spacing w:before="120" w:after="120" w:line="276" w:lineRule="auto"/>
              <w:widowControl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CRITÉRIO DE JULGAMENTO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ind w:left="399"/>
        <w:spacing w:before="105"/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3.1 O critério de julgamento das propostas será o de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menor preço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120" w:line="276" w:lineRule="auto"/>
        <w:widowControl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866"/>
        <w:tblW w:w="9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>
        <w:trPr/>
        <w:tc>
          <w:tcPr>
            <w:shd w:val="clear" w:color="auto" w:fill="bfbfb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4"/>
              <w:spacing w:before="120" w:after="120" w:line="276" w:lineRule="auto"/>
              <w:widowControl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DA PROPOSTA DE PREÇOS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numPr>
          <w:ilvl w:val="1"/>
          <w:numId w:val="2"/>
        </w:numPr>
        <w:ind w:right="108" w:firstLine="283"/>
        <w:jc w:val="both"/>
        <w:spacing w:before="105"/>
        <w:tabs>
          <w:tab w:val="left" w:pos="770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Os Proponentes deverão encaminhar a proposta de preços, conforme modelo do Anexo II, devidamente preenchida com os seus preços de forma legível, sendo assinada preferencialmente com certificado digital e enviada para o e-mail </w:t>
      </w:r>
      <w:hyperlink r:id="rId11" w:tooltip="mailto:licitacoes@portodeimbituba.com.br" w:history="1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licitacoes@portodeimbituba.com.br 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dentro dos prazos estabelecidos. É de responsabilidade total dos Proponentes encaminharem apenas propostas de preços que atendam às exigências contidas nas especificações do objeto em questão.</w:t>
      </w:r>
      <w:r>
        <w:rPr>
          <w:color w:val="000000" w:themeColor="text1"/>
        </w:rPr>
      </w:r>
      <w:r/>
    </w:p>
    <w:p>
      <w:pPr>
        <w:numPr>
          <w:ilvl w:val="1"/>
          <w:numId w:val="2"/>
        </w:numPr>
        <w:ind w:right="106" w:firstLine="283"/>
        <w:jc w:val="both"/>
        <w:spacing w:before="120"/>
        <w:tabs>
          <w:tab w:val="left" w:pos="794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O Prazo de validade da proposta de preços não poderá ser inferior a 30 (trinta) dias, a contar da data final para o encaminhamento da proposta de preços e, na sua omissão, será considerado 30 (trinta) dias.</w:t>
      </w:r>
      <w:r>
        <w:rPr>
          <w:color w:val="000000" w:themeColor="text1"/>
        </w:rPr>
      </w:r>
      <w:r/>
    </w:p>
    <w:p>
      <w:pPr>
        <w:numPr>
          <w:ilvl w:val="1"/>
          <w:numId w:val="2"/>
        </w:numPr>
        <w:ind w:right="107" w:firstLine="283"/>
        <w:jc w:val="both"/>
        <w:spacing w:before="120"/>
        <w:tabs>
          <w:tab w:val="left" w:pos="789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A proposta de preços deverá conter preço unitário e total por item, expresso 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 moeda corrente nacional, contendo no máximo 2 (duas) casas decimais, incluindo todas as despesas tais como: impostos, taxas, seguro, transporte/entrega com frete CIF, e quaisquer outras que forem devidas relativas ao objeto da presente Cotação de Preços.</w:t>
      </w:r>
      <w:r>
        <w:rPr>
          <w:color w:val="000000" w:themeColor="text1"/>
        </w:rPr>
      </w:r>
      <w:r/>
    </w:p>
    <w:p>
      <w:pPr>
        <w:numPr>
          <w:ilvl w:val="1"/>
          <w:numId w:val="2"/>
        </w:numPr>
        <w:ind w:right="104" w:firstLine="283"/>
        <w:jc w:val="both"/>
        <w:spacing w:before="121"/>
        <w:tabs>
          <w:tab w:val="left" w:pos="832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A apresentação da proposta de preços implicará na plena aceitação, por parte do Proponente, das condições estabelecidas nesta Instrução e seus Anexos, e aos termos constantes no Regulamento de Licitações e Contratos da SCPAR Porto de Imbituba S.A.</w:t>
      </w:r>
      <w:r>
        <w:rPr>
          <w:color w:val="000000" w:themeColor="text1"/>
        </w:rPr>
      </w:r>
      <w:r/>
    </w:p>
    <w:p>
      <w:pPr>
        <w:numPr>
          <w:ilvl w:val="1"/>
          <w:numId w:val="2"/>
        </w:numPr>
        <w:ind w:right="111" w:firstLine="283"/>
        <w:jc w:val="both"/>
        <w:spacing w:before="119"/>
        <w:tabs>
          <w:tab w:val="left" w:pos="798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Não serão consideradas aquelas propostas que não estejam em conformidade com os requisitos estabelecidos neste documento e de seus Anexos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</w:t>
      </w:r>
      <w:r>
        <w:rPr>
          <w:rFonts w:ascii="Arial" w:hAnsi="Arial" w:cs="Arial"/>
          <w:color w:val="000000" w:themeColor="text1"/>
          <w:sz w:val="20"/>
          <w:szCs w:val="20"/>
        </w:rPr>
      </w:r>
      <w:r/>
    </w:p>
    <w:p>
      <w:pPr>
        <w:jc w:val="both"/>
        <w:spacing w:after="120" w:line="276" w:lineRule="auto"/>
        <w:widowControl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/>
    </w:p>
    <w:tbl>
      <w:tblPr>
        <w:tblStyle w:val="867"/>
        <w:tblW w:w="9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>
        <w:trPr/>
        <w:tc>
          <w:tcPr>
            <w:shd w:val="clear" w:color="auto" w:fill="bfbfb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4"/>
              <w:spacing w:before="120" w:after="120" w:line="276" w:lineRule="auto"/>
              <w:widowControl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DOS DOCUMENTOS PARA A CONTRATAÇÃO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ind w:left="116" w:right="104" w:firstLine="283"/>
        <w:jc w:val="both"/>
        <w:spacing w:before="102"/>
        <w:rPr>
          <w:rFonts w:ascii="Arial" w:hAnsi="Arial" w:cs="Arial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5.1 - Ao enviar a Cotação de Preços, a interessada deverá estar ciente que, em caso de contratação, será solicitada, conforme o caso, documentação apta a comprovar o cumprimento dos requisitos de habilitação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conforme artigo 113 do Regulamento de Licitações e Contratos da SCPAR Porto de Imbituba S.A., disponível no site </w:t>
      </w:r>
      <w:hyperlink r:id="rId12" w:tooltip="http://www.portodeimbituba.com.br/" w:history="1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www.portodeimbituba.com.br, </w:t>
        </w:r>
      </w:hyperlink>
      <w:r>
        <w:rPr>
          <w:rFonts w:ascii="Arial" w:hAnsi="Arial" w:eastAsia="Arial" w:cs="Arial"/>
          <w:i/>
          <w:color w:val="000000" w:themeColor="text1"/>
          <w:sz w:val="20"/>
          <w:szCs w:val="20"/>
        </w:rPr>
        <w:t xml:space="preserve">link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transparência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/>
    </w:p>
    <w:p>
      <w:pPr>
        <w:ind w:left="116" w:right="104" w:firstLine="283"/>
        <w:jc w:val="both"/>
        <w:spacing w:before="102"/>
        <w:rPr>
          <w:rFonts w:ascii="Arial" w:hAnsi="Arial" w:cs="Arial"/>
          <w:color w:val="ff000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ff0000"/>
          <w:sz w:val="20"/>
          <w:szCs w:val="20"/>
        </w:rPr>
      </w:r>
      <w:r/>
    </w:p>
    <w:sectPr>
      <w:headerReference w:type="default" r:id="rId9"/>
      <w:footnotePr/>
      <w:endnotePr/>
      <w:type w:val="nextPage"/>
      <w:pgSz w:w="11910" w:h="16840" w:orient="portrait"/>
      <w:pgMar w:top="1660" w:right="740" w:bottom="280" w:left="1300" w:header="321" w:footer="36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Arial">
    <w:panose1 w:val="020B0604020202020204"/>
  </w:font>
  <w:font w:name="Arial MT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4" w:lineRule="auto"/>
      <w:rPr>
        <w:color w:val="000000"/>
        <w:sz w:val="20"/>
        <w:szCs w:val="2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<wp:simplePos x="0" y="0"/>
              <wp:positionH relativeFrom="page">
                <wp:posOffset>284032</wp:posOffset>
              </wp:positionH>
              <wp:positionV relativeFrom="page">
                <wp:posOffset>223583</wp:posOffset>
              </wp:positionV>
              <wp:extent cx="573847" cy="470471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847" cy="47047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argin-left:22.4pt;mso-position-horizontal:absolute;mso-position-vertical-relative:page;margin-top:17.6pt;mso-position-vertical:absolute;width:45.2pt;height:37.0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16" w:hanging="370"/>
      </w:pPr>
    </w:lvl>
    <w:lvl w:ilvl="1">
      <w:start w:val="1"/>
      <w:numFmt w:val="decimal"/>
      <w:isLgl w:val="false"/>
      <w:suff w:val="tab"/>
      <w:lvlText w:val="%1.%2"/>
      <w:lvlJc w:val="left"/>
      <w:pPr>
        <w:ind w:left="116" w:hanging="370"/>
      </w:pPr>
      <w:rPr>
        <w:rFonts w:ascii="Arial MT" w:hAnsi="Arial MT" w:eastAsia="Arial MT" w:cs="Arial MT"/>
        <w:sz w:val="22"/>
        <w:szCs w:val="22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370"/>
      </w:pPr>
    </w:lvl>
    <w:lvl w:ilvl="3">
      <w:start w:val="1"/>
      <w:numFmt w:val="bullet"/>
      <w:isLgl w:val="false"/>
      <w:suff w:val="tab"/>
      <w:lvlText w:val="•"/>
      <w:lvlJc w:val="left"/>
      <w:pPr>
        <w:ind w:left="3043" w:hanging="370"/>
      </w:pPr>
    </w:lvl>
    <w:lvl w:ilvl="4">
      <w:start w:val="1"/>
      <w:numFmt w:val="bullet"/>
      <w:isLgl w:val="false"/>
      <w:suff w:val="tab"/>
      <w:lvlText w:val="•"/>
      <w:lvlJc w:val="left"/>
      <w:pPr>
        <w:ind w:left="4018" w:hanging="370"/>
      </w:pPr>
    </w:lvl>
    <w:lvl w:ilvl="5">
      <w:start w:val="1"/>
      <w:numFmt w:val="bullet"/>
      <w:isLgl w:val="false"/>
      <w:suff w:val="tab"/>
      <w:lvlText w:val="•"/>
      <w:lvlJc w:val="left"/>
      <w:pPr>
        <w:ind w:left="4993" w:hanging="370"/>
      </w:pPr>
    </w:lvl>
    <w:lvl w:ilvl="6">
      <w:start w:val="1"/>
      <w:numFmt w:val="bullet"/>
      <w:isLgl w:val="false"/>
      <w:suff w:val="tab"/>
      <w:lvlText w:val="•"/>
      <w:lvlJc w:val="left"/>
      <w:pPr>
        <w:ind w:left="5967" w:hanging="370"/>
      </w:pPr>
    </w:lvl>
    <w:lvl w:ilvl="7">
      <w:start w:val="1"/>
      <w:numFmt w:val="bullet"/>
      <w:isLgl w:val="false"/>
      <w:suff w:val="tab"/>
      <w:lvlText w:val="•"/>
      <w:lvlJc w:val="left"/>
      <w:pPr>
        <w:ind w:left="6942" w:hanging="370"/>
      </w:pPr>
    </w:lvl>
    <w:lvl w:ilvl="8">
      <w:start w:val="1"/>
      <w:numFmt w:val="bullet"/>
      <w:isLgl w:val="false"/>
      <w:suff w:val="tab"/>
      <w:lvlText w:val="•"/>
      <w:lvlJc w:val="left"/>
      <w:pPr>
        <w:ind w:left="7917" w:hanging="37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829" w:hanging="429"/>
      </w:pPr>
    </w:lvl>
    <w:lvl w:ilvl="1">
      <w:start w:val="1"/>
      <w:numFmt w:val="decimal"/>
      <w:isLgl w:val="false"/>
      <w:suff w:val="tab"/>
      <w:lvlText w:val="%1.%2."/>
      <w:lvlJc w:val="left"/>
      <w:pPr>
        <w:ind w:left="829" w:hanging="429"/>
      </w:pPr>
      <w:rPr>
        <w:rFonts w:ascii="Arial MT" w:hAnsi="Arial MT" w:eastAsia="Arial MT" w:cs="Arial MT"/>
        <w:sz w:val="22"/>
        <w:szCs w:val="22"/>
      </w:rPr>
    </w:lvl>
    <w:lvl w:ilvl="2">
      <w:start w:val="1"/>
      <w:numFmt w:val="bullet"/>
      <w:isLgl w:val="false"/>
      <w:suff w:val="tab"/>
      <w:lvlText w:val="•"/>
      <w:lvlJc w:val="left"/>
      <w:pPr>
        <w:ind w:left="2629" w:hanging="430"/>
      </w:pPr>
    </w:lvl>
    <w:lvl w:ilvl="3">
      <w:start w:val="1"/>
      <w:numFmt w:val="bullet"/>
      <w:isLgl w:val="false"/>
      <w:suff w:val="tab"/>
      <w:lvlText w:val="•"/>
      <w:lvlJc w:val="left"/>
      <w:pPr>
        <w:ind w:left="3533" w:hanging="430"/>
      </w:pPr>
    </w:lvl>
    <w:lvl w:ilvl="4">
      <w:start w:val="1"/>
      <w:numFmt w:val="bullet"/>
      <w:isLgl w:val="false"/>
      <w:suff w:val="tab"/>
      <w:lvlText w:val="•"/>
      <w:lvlJc w:val="left"/>
      <w:pPr>
        <w:ind w:left="4438" w:hanging="430"/>
      </w:pPr>
    </w:lvl>
    <w:lvl w:ilvl="5">
      <w:start w:val="1"/>
      <w:numFmt w:val="bullet"/>
      <w:isLgl w:val="false"/>
      <w:suff w:val="tab"/>
      <w:lvlText w:val="•"/>
      <w:lvlJc w:val="left"/>
      <w:pPr>
        <w:ind w:left="5343" w:hanging="430"/>
      </w:pPr>
    </w:lvl>
    <w:lvl w:ilvl="6">
      <w:start w:val="1"/>
      <w:numFmt w:val="bullet"/>
      <w:isLgl w:val="false"/>
      <w:suff w:val="tab"/>
      <w:lvlText w:val="•"/>
      <w:lvlJc w:val="left"/>
      <w:pPr>
        <w:ind w:left="6247" w:hanging="430"/>
      </w:pPr>
    </w:lvl>
    <w:lvl w:ilvl="7">
      <w:start w:val="1"/>
      <w:numFmt w:val="bullet"/>
      <w:isLgl w:val="false"/>
      <w:suff w:val="tab"/>
      <w:lvlText w:val="•"/>
      <w:lvlJc w:val="left"/>
      <w:pPr>
        <w:ind w:left="7152" w:hanging="430"/>
      </w:pPr>
    </w:lvl>
    <w:lvl w:ilvl="8">
      <w:start w:val="1"/>
      <w:numFmt w:val="bullet"/>
      <w:isLgl w:val="false"/>
      <w:suff w:val="tab"/>
      <w:lvlText w:val="•"/>
      <w:lvlJc w:val="left"/>
      <w:pPr>
        <w:ind w:left="8057" w:hanging="43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MT" w:hAnsi="Arial MT" w:eastAsia="Arial MT" w:cs="Arial MT"/>
        <w:sz w:val="22"/>
        <w:szCs w:val="22"/>
        <w:lang w:val="pt-PT" w:eastAsia="pt-BR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1">
    <w:name w:val="Heading 1 Char"/>
    <w:basedOn w:val="835"/>
    <w:link w:val="829"/>
    <w:uiPriority w:val="9"/>
    <w:rPr>
      <w:rFonts w:ascii="Arial" w:hAnsi="Arial" w:eastAsia="Arial" w:cs="Arial"/>
      <w:sz w:val="40"/>
      <w:szCs w:val="40"/>
    </w:rPr>
  </w:style>
  <w:style w:type="character" w:styleId="662">
    <w:name w:val="Heading 2 Char"/>
    <w:basedOn w:val="835"/>
    <w:link w:val="830"/>
    <w:uiPriority w:val="9"/>
    <w:rPr>
      <w:rFonts w:ascii="Arial" w:hAnsi="Arial" w:eastAsia="Arial" w:cs="Arial"/>
      <w:sz w:val="34"/>
    </w:rPr>
  </w:style>
  <w:style w:type="character" w:styleId="663">
    <w:name w:val="Heading 3 Char"/>
    <w:basedOn w:val="835"/>
    <w:link w:val="831"/>
    <w:uiPriority w:val="9"/>
    <w:rPr>
      <w:rFonts w:ascii="Arial" w:hAnsi="Arial" w:eastAsia="Arial" w:cs="Arial"/>
      <w:sz w:val="30"/>
      <w:szCs w:val="30"/>
    </w:rPr>
  </w:style>
  <w:style w:type="character" w:styleId="664">
    <w:name w:val="Heading 4 Char"/>
    <w:basedOn w:val="835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65">
    <w:name w:val="Heading 5 Char"/>
    <w:basedOn w:val="835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666">
    <w:name w:val="Heading 6 Char"/>
    <w:basedOn w:val="835"/>
    <w:link w:val="834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5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5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28"/>
    <w:next w:val="828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5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5"/>
    <w:link w:val="839"/>
    <w:uiPriority w:val="10"/>
    <w:rPr>
      <w:sz w:val="48"/>
      <w:szCs w:val="48"/>
    </w:rPr>
  </w:style>
  <w:style w:type="character" w:styleId="675">
    <w:name w:val="Subtitle Char"/>
    <w:basedOn w:val="835"/>
    <w:link w:val="852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35"/>
    <w:link w:val="868"/>
    <w:uiPriority w:val="99"/>
  </w:style>
  <w:style w:type="character" w:styleId="681">
    <w:name w:val="Footer Char"/>
    <w:basedOn w:val="835"/>
    <w:link w:val="870"/>
    <w:uiPriority w:val="99"/>
  </w:style>
  <w:style w:type="paragraph" w:styleId="682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70"/>
    <w:uiPriority w:val="99"/>
  </w:style>
  <w:style w:type="table" w:styleId="684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5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5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uiPriority w:val="1"/>
    <w:qFormat/>
    <w:rPr>
      <w:lang w:eastAsia="en-US"/>
    </w:rPr>
  </w:style>
  <w:style w:type="paragraph" w:styleId="829">
    <w:name w:val="Heading 1"/>
    <w:basedOn w:val="828"/>
    <w:uiPriority w:val="1"/>
    <w:qFormat/>
    <w:pPr>
      <w:ind w:left="108"/>
      <w:spacing w:before="120"/>
      <w:outlineLvl w:val="0"/>
    </w:pPr>
    <w:rPr>
      <w:rFonts w:ascii="Arial" w:hAnsi="Arial" w:eastAsia="Arial" w:cs="Arial"/>
      <w:b/>
      <w:bCs/>
    </w:rPr>
  </w:style>
  <w:style w:type="paragraph" w:styleId="830">
    <w:name w:val="Heading 2"/>
    <w:basedOn w:val="828"/>
    <w:next w:val="828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31">
    <w:name w:val="Heading 3"/>
    <w:basedOn w:val="828"/>
    <w:next w:val="828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32">
    <w:name w:val="Heading 4"/>
    <w:basedOn w:val="828"/>
    <w:next w:val="828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33">
    <w:name w:val="Heading 5"/>
    <w:basedOn w:val="828"/>
    <w:next w:val="828"/>
    <w:pPr>
      <w:keepLines/>
      <w:keepNext/>
      <w:spacing w:before="220" w:after="40"/>
      <w:outlineLvl w:val="4"/>
    </w:pPr>
    <w:rPr>
      <w:b/>
    </w:rPr>
  </w:style>
  <w:style w:type="paragraph" w:styleId="834">
    <w:name w:val="Heading 6"/>
    <w:basedOn w:val="828"/>
    <w:next w:val="828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table" w:styleId="83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9">
    <w:name w:val="Title"/>
    <w:basedOn w:val="828"/>
    <w:next w:val="828"/>
    <w:pPr>
      <w:keepLines/>
      <w:keepNext/>
      <w:spacing w:before="480" w:after="120"/>
    </w:pPr>
    <w:rPr>
      <w:b/>
      <w:sz w:val="72"/>
      <w:szCs w:val="72"/>
    </w:rPr>
  </w:style>
  <w:style w:type="table" w:styleId="84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49">
    <w:name w:val="Body Text"/>
    <w:basedOn w:val="828"/>
    <w:uiPriority w:val="1"/>
    <w:qFormat/>
  </w:style>
  <w:style w:type="paragraph" w:styleId="850">
    <w:name w:val="List Paragraph"/>
    <w:basedOn w:val="828"/>
    <w:uiPriority w:val="1"/>
    <w:qFormat/>
    <w:pPr>
      <w:ind w:left="116" w:firstLine="283"/>
      <w:jc w:val="both"/>
      <w:spacing w:before="105"/>
    </w:pPr>
  </w:style>
  <w:style w:type="paragraph" w:styleId="851" w:customStyle="1">
    <w:name w:val="Table Paragraph"/>
    <w:basedOn w:val="828"/>
    <w:uiPriority w:val="1"/>
    <w:qFormat/>
  </w:style>
  <w:style w:type="paragraph" w:styleId="852">
    <w:name w:val="Subtitle"/>
    <w:basedOn w:val="828"/>
    <w:next w:val="828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53" w:customStyle="1">
    <w:name w:val="StGen0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4" w:customStyle="1">
    <w:name w:val="StGen1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5" w:customStyle="1">
    <w:name w:val="StGen2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6" w:customStyle="1">
    <w:name w:val="StGen3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7" w:customStyle="1">
    <w:name w:val="StGen4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8" w:customStyle="1">
    <w:name w:val="StGen5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9" w:customStyle="1">
    <w:name w:val="StGen6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0" w:customStyle="1">
    <w:name w:val="StGen7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1" w:customStyle="1">
    <w:name w:val="StGen8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2" w:customStyle="1">
    <w:name w:val="StGen9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3" w:customStyle="1">
    <w:name w:val="StGen10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4" w:customStyle="1">
    <w:name w:val="StGen11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5" w:customStyle="1">
    <w:name w:val="StGen12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6" w:customStyle="1">
    <w:name w:val="StGen13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7" w:customStyle="1">
    <w:name w:val="StGen14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868">
    <w:name w:val="Header"/>
    <w:basedOn w:val="828"/>
    <w:link w:val="869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69" w:customStyle="1">
    <w:name w:val="Cabeçalho Char"/>
    <w:basedOn w:val="835"/>
    <w:link w:val="868"/>
    <w:uiPriority w:val="99"/>
    <w:rPr>
      <w:lang w:eastAsia="en-US"/>
    </w:rPr>
  </w:style>
  <w:style w:type="paragraph" w:styleId="870">
    <w:name w:val="Footer"/>
    <w:basedOn w:val="828"/>
    <w:link w:val="871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71" w:customStyle="1">
    <w:name w:val="Rodapé Char"/>
    <w:basedOn w:val="835"/>
    <w:link w:val="870"/>
    <w:uiPriority w:val="99"/>
    <w:rPr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licitacoes@portodeimbituba.com.br" TargetMode="External"/><Relationship Id="rId12" Type="http://schemas.openxmlformats.org/officeDocument/2006/relationships/hyperlink" Target="http://www.portodeimbituba.com.br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UNYuA/0Y36WpauiNVtw+LfIM/A==">CgMxLjA4AHIhMXNMeHdIdV9VMkhaaU1JZUIxUTQwcTNyUzdJQ3VYYm1q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Monteiro Albino</dc:creator>
  <cp:lastModifiedBy>Luis Fernando da Silva</cp:lastModifiedBy>
  <cp:revision>16</cp:revision>
  <dcterms:created xsi:type="dcterms:W3CDTF">2022-11-14T17:10:00Z</dcterms:created>
  <dcterms:modified xsi:type="dcterms:W3CDTF">2025-03-13T14:51:11Z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2022-11-14T00:00:00Z</vt:filetime>
  </property>
</Properties>
</file>