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left="2961" w:right="2956"/>
        <w:jc w:val="center"/>
        <w:spacing w:before="177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COTAÇÃO DE PREÇOS Nº </w:t>
      </w:r>
      <w:r>
        <w:rPr>
          <w:color w:val="000000" w:themeColor="text1"/>
          <w:sz w:val="20"/>
          <w:szCs w:val="20"/>
        </w:rPr>
        <w:t xml:space="preserve">0</w:t>
      </w:r>
      <w:r>
        <w:rPr>
          <w:color w:val="000000" w:themeColor="text1"/>
          <w:sz w:val="20"/>
          <w:szCs w:val="20"/>
        </w:rPr>
        <w:t xml:space="preserve">02/20</w:t>
      </w:r>
      <w:r>
        <w:rPr>
          <w:color w:val="000000" w:themeColor="text1"/>
          <w:sz w:val="20"/>
          <w:szCs w:val="20"/>
        </w:rPr>
        <w:t xml:space="preserve">25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rFonts w:ascii="Arial" w:hAnsi="Arial" w:eastAsia="Arial" w:cs="Arial"/>
          <w:b/>
          <w:color w:val="000000" w:themeColor="text1"/>
          <w:sz w:val="20"/>
          <w:szCs w:val="20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0"/>
          <w:szCs w:val="20"/>
          <w:highlight w:val="yellow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spacing w:before="10"/>
        <w:rPr>
          <w:rFonts w:ascii="Arial" w:hAnsi="Arial" w:eastAsia="Arial" w:cs="Arial"/>
          <w:b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 SCPAR Porto de Imbituba S.A. torna público que realizará, nos termos da Lei nº 13.303/2016, Lei Complementar nº 123/2006 e de seu Regulamento de Licitações e Contratos, cotação de preços para 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Contratação de empresa para fornecimento e aplicação da vacina antigripal (Influenza) QUADRIVALENTE para a imunização dos colaboradores da empresa SCPAR Porto de Imbituba S.A. e  para  os  colaboradores  terceiros  ligado  direto  a  administração  portuária  (secretario(a),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 copeira e telefonista)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conforme condições estabelecidas nesta instrução e no Termo de Referência. Os documentos relacionados a seguir fazem parte integrante desta Cotação de Preços: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 w:right="10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/>
        <w:spacing w:line="251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Anexo 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Termo de Referência;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116"/>
        <w:spacing w:before="12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Anexo II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Modelo de Proposta de Preço.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3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 OBJETO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spacing w:before="7"/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color w:val="000000" w:themeColor="text1"/>
          <w:sz w:val="20"/>
          <w:szCs w:val="20"/>
        </w:rPr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Contratação de empresa para fornecimento e aplicação da vacina antigripal (Influenza) QUADRIVALENTE para a imunização dos colaboradores da empresa SCPAR Porto de Imbituba S.A.e  para  os  colaboradores  terceiros  ligado  direto  a  administração  portuária</w:t>
      </w:r>
      <w:r>
        <w:rPr>
          <w:rFonts w:ascii="Arial" w:hAnsi="Arial" w:eastAsia="Arial" w:cs="Arial"/>
          <w:b/>
          <w:color w:val="000000" w:themeColor="text1"/>
          <w:sz w:val="20"/>
          <w:szCs w:val="20"/>
        </w:rPr>
        <w:t xml:space="preserve">  (secretario(a), copeira e telefonista),</w:t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4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DOS PRAZOS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numPr>
          <w:ilvl w:val="1"/>
          <w:numId w:val="3"/>
        </w:numPr>
        <w:ind w:hanging="431"/>
        <w:spacing w:before="105"/>
        <w:tabs>
          <w:tab w:val="left" w:pos="83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Acolhimento das propostas: a partir 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08h00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27/02/2025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numPr>
          <w:ilvl w:val="1"/>
          <w:numId w:val="3"/>
        </w:numPr>
        <w:ind w:hanging="431"/>
        <w:spacing w:before="119"/>
        <w:tabs>
          <w:tab w:val="left" w:pos="83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Prazo limite para acolhimento das propostas: até as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09h45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07/03/2025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5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CRITÉRIO DE JULGAMENTO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ind w:left="399"/>
        <w:spacing w:before="105"/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3.1 O critério de julgamento das propostas será o de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menor preço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tbl>
      <w:tblPr>
        <w:tblStyle w:val="866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DA PROPOSTA DE PREÇOS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numPr>
          <w:ilvl w:val="1"/>
          <w:numId w:val="2"/>
        </w:numPr>
        <w:ind w:right="108" w:firstLine="283"/>
        <w:jc w:val="both"/>
        <w:spacing w:before="105"/>
        <w:tabs>
          <w:tab w:val="left" w:pos="770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- Os Proponentes deverão encaminhar a proposta de preços, conforme modelo do Anexo II, devidamente preenchida com os seus preços de forma legível, sendo assinada preferencialmente com certificado digital e enviada para o e-mail </w:t>
      </w:r>
      <w:hyperlink r:id="rId11" w:tooltip="mailto:licitacoes@portodeimbituba.com.br" w:history="1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licitacoes@portodeimbituba.com.br 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dentro dos prazos estabelecidos. É de responsabilidade total dos Proponentes encaminharem apenas propostas de preços que atendam às exigências contidas nas especificações do objeto em questão.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6" w:firstLine="283"/>
        <w:jc w:val="both"/>
        <w:spacing w:before="120"/>
        <w:tabs>
          <w:tab w:val="left" w:pos="794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O Prazo de validade da proposta de preços não poderá ser inferior a 30 (trinta) dias, a contar da data final para o encaminhamento da proposta de preços e, na sua omissão, será considerado 30 (trinta) dias.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7" w:firstLine="283"/>
        <w:jc w:val="both"/>
        <w:spacing w:before="120"/>
        <w:tabs>
          <w:tab w:val="left" w:pos="789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A proposta de preços deverá conter preço unitário e total por item, expresso 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 moeda corrente nacional, contendo no máximo 2 (duas) casas decimais, incluindo todas as despesas tais como: impostos, taxas, seguro, transporte/entrega com frete CIF, e quaisquer outras que forem devidas relativas ao objeto da presente Cotação de Preços.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04" w:firstLine="283"/>
        <w:jc w:val="both"/>
        <w:spacing w:before="121"/>
        <w:tabs>
          <w:tab w:val="left" w:pos="832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A apresentação da proposta de preços implicará na plena aceitação, por parte do Proponente, das condições estabelecidas nesta Instrução e seus Anexos, e aos termos constantes no Regulamento de Licitações e Contratos da SCPAR Porto de Imbituba S.A.</w:t>
      </w:r>
      <w:r>
        <w:rPr>
          <w:color w:val="000000" w:themeColor="text1"/>
        </w:rPr>
      </w:r>
      <w:r/>
    </w:p>
    <w:p>
      <w:pPr>
        <w:numPr>
          <w:ilvl w:val="1"/>
          <w:numId w:val="2"/>
        </w:numPr>
        <w:ind w:right="111" w:firstLine="283"/>
        <w:jc w:val="both"/>
        <w:spacing w:before="119"/>
        <w:tabs>
          <w:tab w:val="left" w:pos="798" w:leader="none"/>
        </w:tabs>
        <w:rPr>
          <w:rFonts w:ascii="Arial" w:hAnsi="Arial" w:cs="Arial"/>
          <w:color w:val="000000" w:themeColor="text1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Não serão consideradas aquelas propostas que não estejam em conformidade com os requisitos estabelecidos neste documento e de seus Anexos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</w:t>
      </w:r>
      <w:r>
        <w:rPr>
          <w:rFonts w:ascii="Arial" w:hAnsi="Arial" w:cs="Arial"/>
          <w:color w:val="000000" w:themeColor="text1"/>
          <w:sz w:val="20"/>
          <w:szCs w:val="20"/>
        </w:rPr>
      </w:r>
      <w:r/>
    </w:p>
    <w:p>
      <w:pPr>
        <w:jc w:val="both"/>
        <w:spacing w:after="120" w:line="276" w:lineRule="auto"/>
        <w:widowControl/>
        <w:rPr>
          <w:rFonts w:ascii="Arial" w:hAnsi="Arial" w:eastAsia="Arial" w:cs="Arial"/>
          <w:color w:val="000000" w:themeColor="text1"/>
          <w:sz w:val="20"/>
          <w:szCs w:val="20"/>
        </w:rPr>
      </w:pPr>
      <w:r>
        <w:rPr>
          <w:rFonts w:ascii="Arial" w:hAnsi="Arial" w:eastAsia="Arial" w:cs="Arial"/>
          <w:color w:val="000000" w:themeColor="text1"/>
          <w:sz w:val="20"/>
          <w:szCs w:val="20"/>
        </w:rPr>
      </w:r>
      <w:r>
        <w:rPr>
          <w:color w:val="000000" w:themeColor="text1"/>
        </w:rPr>
      </w:r>
      <w:r/>
    </w:p>
    <w:tbl>
      <w:tblPr>
        <w:tblStyle w:val="867"/>
        <w:tblW w:w="9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720"/>
      </w:tblGrid>
      <w:tr>
        <w:trPr/>
        <w:tc>
          <w:tcPr>
            <w:shd w:val="clear" w:color="auto" w:fill="bfbfb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20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84"/>
              <w:spacing w:before="120" w:after="120" w:line="276" w:lineRule="auto"/>
              <w:widowControl/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color w:val="000000" w:themeColor="text1"/>
                <w:sz w:val="20"/>
                <w:szCs w:val="20"/>
              </w:rPr>
              <w:t xml:space="preserve">DOS DOCUMENTOS PARA A CONTRATAÇÃO</w:t>
            </w:r>
            <w:r>
              <w:rPr>
                <w:color w:val="000000" w:themeColor="text1"/>
              </w:rPr>
            </w:r>
            <w:r/>
          </w:p>
        </w:tc>
      </w:tr>
    </w:tbl>
    <w:p>
      <w:pPr>
        <w:ind w:left="116" w:right="104" w:firstLine="283"/>
        <w:jc w:val="both"/>
        <w:spacing w:before="102"/>
        <w:rPr>
          <w:rFonts w:ascii="Arial" w:hAnsi="Arial" w:cs="Arial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5.1 - Ao enviar a Cotação de Preços, a interessada deverá estar ciente que, em caso de contratação, será solicitada, conforme o caso, documentação apta a comprovar o cumprimento dos requisitos de habilitação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conforme artigo 113 do Regulamento de Licitações e Contratos da SCPAR Porto de Imbituba S.A., disponível no site </w:t>
      </w:r>
      <w:hyperlink r:id="rId12" w:tooltip="http://www.portodeimbituba.com.br/" w:history="1">
        <w:r>
          <w:rPr>
            <w:rFonts w:ascii="Arial" w:hAnsi="Arial" w:cs="Arial"/>
            <w:color w:val="000000" w:themeColor="text1"/>
            <w:sz w:val="20"/>
            <w:szCs w:val="20"/>
          </w:rPr>
          <w:t xml:space="preserve">www.portodeimbituba.com.br, </w:t>
        </w:r>
      </w:hyperlink>
      <w:r>
        <w:rPr>
          <w:rFonts w:ascii="Arial" w:hAnsi="Arial" w:eastAsia="Arial" w:cs="Arial"/>
          <w:i/>
          <w:color w:val="000000" w:themeColor="text1"/>
          <w:sz w:val="20"/>
          <w:szCs w:val="20"/>
        </w:rPr>
        <w:t xml:space="preserve">link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transparência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/>
    </w:p>
    <w:p>
      <w:pPr>
        <w:ind w:left="116" w:right="104" w:firstLine="283"/>
        <w:jc w:val="both"/>
        <w:spacing w:before="102"/>
        <w:rPr>
          <w:rFonts w:ascii="Arial" w:hAnsi="Arial" w:cs="Arial"/>
          <w:color w:val="ff0000"/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color w:val="ff0000"/>
          <w:sz w:val="20"/>
          <w:szCs w:val="20"/>
        </w:rPr>
      </w:r>
      <w:r/>
    </w:p>
    <w:sectPr>
      <w:headerReference w:type="default" r:id="rId9"/>
      <w:footnotePr/>
      <w:endnotePr/>
      <w:type w:val="nextPage"/>
      <w:pgSz w:w="11910" w:h="16840" w:orient="portrait"/>
      <w:pgMar w:top="1660" w:right="740" w:bottom="280" w:left="1300" w:header="321" w:footer="36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Arial">
    <w:panose1 w:val="020B0604020202020204"/>
  </w:font>
  <w:font w:name="Arial MT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line="14" w:lineRule="auto"/>
      <w:rPr>
        <w:color w:val="000000"/>
        <w:sz w:val="20"/>
        <w:szCs w:val="2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  <w:lang w:val="pt-BR" w:eastAsia="pt-B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<wp:simplePos x="0" y="0"/>
              <wp:positionH relativeFrom="page">
                <wp:posOffset>284032</wp:posOffset>
              </wp:positionH>
              <wp:positionV relativeFrom="page">
                <wp:posOffset>223583</wp:posOffset>
              </wp:positionV>
              <wp:extent cx="573847" cy="470471"/>
              <wp:effectExtent l="0" t="0" r="0" b="0"/>
              <wp:wrapNone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847" cy="47047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argin-left:22.4pt;mso-position-horizontal:absolute;mso-position-vertical-relative:page;margin-top:17.6pt;mso-position-vertical:absolute;width:45.2pt;height:37.0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16" w:hanging="370"/>
      </w:pPr>
    </w:lvl>
    <w:lvl w:ilvl="1">
      <w:start w:val="1"/>
      <w:numFmt w:val="decimal"/>
      <w:isLgl w:val="false"/>
      <w:suff w:val="tab"/>
      <w:lvlText w:val="%1.%2"/>
      <w:lvlJc w:val="left"/>
      <w:pPr>
        <w:ind w:left="116" w:hanging="370"/>
      </w:pPr>
      <w:rPr>
        <w:rFonts w:ascii="Arial MT" w:hAnsi="Arial MT" w:eastAsia="Arial MT" w:cs="Arial MT"/>
        <w:sz w:val="22"/>
        <w:szCs w:val="22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370"/>
      </w:pPr>
    </w:lvl>
    <w:lvl w:ilvl="3">
      <w:start w:val="1"/>
      <w:numFmt w:val="bullet"/>
      <w:isLgl w:val="false"/>
      <w:suff w:val="tab"/>
      <w:lvlText w:val="•"/>
      <w:lvlJc w:val="left"/>
      <w:pPr>
        <w:ind w:left="3043" w:hanging="370"/>
      </w:pPr>
    </w:lvl>
    <w:lvl w:ilvl="4">
      <w:start w:val="1"/>
      <w:numFmt w:val="bullet"/>
      <w:isLgl w:val="false"/>
      <w:suff w:val="tab"/>
      <w:lvlText w:val="•"/>
      <w:lvlJc w:val="left"/>
      <w:pPr>
        <w:ind w:left="4018" w:hanging="370"/>
      </w:pPr>
    </w:lvl>
    <w:lvl w:ilvl="5">
      <w:start w:val="1"/>
      <w:numFmt w:val="bullet"/>
      <w:isLgl w:val="false"/>
      <w:suff w:val="tab"/>
      <w:lvlText w:val="•"/>
      <w:lvlJc w:val="left"/>
      <w:pPr>
        <w:ind w:left="4993" w:hanging="370"/>
      </w:pPr>
    </w:lvl>
    <w:lvl w:ilvl="6">
      <w:start w:val="1"/>
      <w:numFmt w:val="bullet"/>
      <w:isLgl w:val="false"/>
      <w:suff w:val="tab"/>
      <w:lvlText w:val="•"/>
      <w:lvlJc w:val="left"/>
      <w:pPr>
        <w:ind w:left="5967" w:hanging="370"/>
      </w:pPr>
    </w:lvl>
    <w:lvl w:ilvl="7">
      <w:start w:val="1"/>
      <w:numFmt w:val="bullet"/>
      <w:isLgl w:val="false"/>
      <w:suff w:val="tab"/>
      <w:lvlText w:val="•"/>
      <w:lvlJc w:val="left"/>
      <w:pPr>
        <w:ind w:left="6942" w:hanging="370"/>
      </w:pPr>
    </w:lvl>
    <w:lvl w:ilvl="8">
      <w:start w:val="1"/>
      <w:numFmt w:val="bullet"/>
      <w:isLgl w:val="false"/>
      <w:suff w:val="tab"/>
      <w:lvlText w:val="•"/>
      <w:lvlJc w:val="left"/>
      <w:pPr>
        <w:ind w:left="7917" w:hanging="37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829" w:hanging="429"/>
      </w:pPr>
    </w:lvl>
    <w:lvl w:ilvl="1">
      <w:start w:val="1"/>
      <w:numFmt w:val="decimal"/>
      <w:isLgl w:val="false"/>
      <w:suff w:val="tab"/>
      <w:lvlText w:val="%1.%2."/>
      <w:lvlJc w:val="left"/>
      <w:pPr>
        <w:ind w:left="829" w:hanging="429"/>
      </w:pPr>
      <w:rPr>
        <w:rFonts w:ascii="Arial MT" w:hAnsi="Arial MT" w:eastAsia="Arial MT" w:cs="Arial MT"/>
        <w:sz w:val="22"/>
        <w:szCs w:val="22"/>
      </w:rPr>
    </w:lvl>
    <w:lvl w:ilvl="2">
      <w:start w:val="1"/>
      <w:numFmt w:val="bullet"/>
      <w:isLgl w:val="false"/>
      <w:suff w:val="tab"/>
      <w:lvlText w:val="•"/>
      <w:lvlJc w:val="left"/>
      <w:pPr>
        <w:ind w:left="2629" w:hanging="430"/>
      </w:pPr>
    </w:lvl>
    <w:lvl w:ilvl="3">
      <w:start w:val="1"/>
      <w:numFmt w:val="bullet"/>
      <w:isLgl w:val="false"/>
      <w:suff w:val="tab"/>
      <w:lvlText w:val="•"/>
      <w:lvlJc w:val="left"/>
      <w:pPr>
        <w:ind w:left="3533" w:hanging="430"/>
      </w:pPr>
    </w:lvl>
    <w:lvl w:ilvl="4">
      <w:start w:val="1"/>
      <w:numFmt w:val="bullet"/>
      <w:isLgl w:val="false"/>
      <w:suff w:val="tab"/>
      <w:lvlText w:val="•"/>
      <w:lvlJc w:val="left"/>
      <w:pPr>
        <w:ind w:left="4438" w:hanging="430"/>
      </w:pPr>
    </w:lvl>
    <w:lvl w:ilvl="5">
      <w:start w:val="1"/>
      <w:numFmt w:val="bullet"/>
      <w:isLgl w:val="false"/>
      <w:suff w:val="tab"/>
      <w:lvlText w:val="•"/>
      <w:lvlJc w:val="left"/>
      <w:pPr>
        <w:ind w:left="5343" w:hanging="430"/>
      </w:pPr>
    </w:lvl>
    <w:lvl w:ilvl="6">
      <w:start w:val="1"/>
      <w:numFmt w:val="bullet"/>
      <w:isLgl w:val="false"/>
      <w:suff w:val="tab"/>
      <w:lvlText w:val="•"/>
      <w:lvlJc w:val="left"/>
      <w:pPr>
        <w:ind w:left="6247" w:hanging="430"/>
      </w:pPr>
    </w:lvl>
    <w:lvl w:ilvl="7">
      <w:start w:val="1"/>
      <w:numFmt w:val="bullet"/>
      <w:isLgl w:val="false"/>
      <w:suff w:val="tab"/>
      <w:lvlText w:val="•"/>
      <w:lvlJc w:val="left"/>
      <w:pPr>
        <w:ind w:left="7152" w:hanging="430"/>
      </w:pPr>
    </w:lvl>
    <w:lvl w:ilvl="8">
      <w:start w:val="1"/>
      <w:numFmt w:val="bullet"/>
      <w:isLgl w:val="false"/>
      <w:suff w:val="tab"/>
      <w:lvlText w:val="•"/>
      <w:lvlJc w:val="left"/>
      <w:pPr>
        <w:ind w:left="8057" w:hanging="43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MT" w:hAnsi="Arial MT" w:eastAsia="Arial MT" w:cs="Arial MT"/>
        <w:sz w:val="22"/>
        <w:szCs w:val="22"/>
        <w:lang w:val="pt-PT" w:eastAsia="pt-BR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1">
    <w:name w:val="Heading 1 Char"/>
    <w:basedOn w:val="835"/>
    <w:link w:val="829"/>
    <w:uiPriority w:val="9"/>
    <w:rPr>
      <w:rFonts w:ascii="Arial" w:hAnsi="Arial" w:eastAsia="Arial" w:cs="Arial"/>
      <w:sz w:val="40"/>
      <w:szCs w:val="40"/>
    </w:rPr>
  </w:style>
  <w:style w:type="character" w:styleId="662">
    <w:name w:val="Heading 2 Char"/>
    <w:basedOn w:val="835"/>
    <w:link w:val="830"/>
    <w:uiPriority w:val="9"/>
    <w:rPr>
      <w:rFonts w:ascii="Arial" w:hAnsi="Arial" w:eastAsia="Arial" w:cs="Arial"/>
      <w:sz w:val="34"/>
    </w:rPr>
  </w:style>
  <w:style w:type="character" w:styleId="663">
    <w:name w:val="Heading 3 Char"/>
    <w:basedOn w:val="835"/>
    <w:link w:val="831"/>
    <w:uiPriority w:val="9"/>
    <w:rPr>
      <w:rFonts w:ascii="Arial" w:hAnsi="Arial" w:eastAsia="Arial" w:cs="Arial"/>
      <w:sz w:val="30"/>
      <w:szCs w:val="30"/>
    </w:rPr>
  </w:style>
  <w:style w:type="character" w:styleId="664">
    <w:name w:val="Heading 4 Char"/>
    <w:basedOn w:val="835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65">
    <w:name w:val="Heading 5 Char"/>
    <w:basedOn w:val="835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66">
    <w:name w:val="Heading 6 Char"/>
    <w:basedOn w:val="835"/>
    <w:link w:val="834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5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5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28"/>
    <w:next w:val="828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5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5"/>
    <w:link w:val="839"/>
    <w:uiPriority w:val="10"/>
    <w:rPr>
      <w:sz w:val="48"/>
      <w:szCs w:val="48"/>
    </w:rPr>
  </w:style>
  <w:style w:type="character" w:styleId="675">
    <w:name w:val="Subtitle Char"/>
    <w:basedOn w:val="835"/>
    <w:link w:val="852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35"/>
    <w:link w:val="868"/>
    <w:uiPriority w:val="99"/>
  </w:style>
  <w:style w:type="character" w:styleId="681">
    <w:name w:val="Footer Char"/>
    <w:basedOn w:val="835"/>
    <w:link w:val="87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70"/>
    <w:uiPriority w:val="99"/>
  </w:style>
  <w:style w:type="table" w:styleId="684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5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5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uiPriority w:val="1"/>
    <w:qFormat/>
    <w:rPr>
      <w:lang w:eastAsia="en-US"/>
    </w:rPr>
  </w:style>
  <w:style w:type="paragraph" w:styleId="829">
    <w:name w:val="Heading 1"/>
    <w:basedOn w:val="828"/>
    <w:uiPriority w:val="1"/>
    <w:qFormat/>
    <w:pPr>
      <w:ind w:left="108"/>
      <w:spacing w:before="120"/>
      <w:outlineLvl w:val="0"/>
    </w:pPr>
    <w:rPr>
      <w:rFonts w:ascii="Arial" w:hAnsi="Arial" w:eastAsia="Arial" w:cs="Arial"/>
      <w:b/>
      <w:bCs/>
    </w:rPr>
  </w:style>
  <w:style w:type="paragraph" w:styleId="830">
    <w:name w:val="Heading 2"/>
    <w:basedOn w:val="828"/>
    <w:next w:val="828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831">
    <w:name w:val="Heading 3"/>
    <w:basedOn w:val="828"/>
    <w:next w:val="828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832">
    <w:name w:val="Heading 4"/>
    <w:basedOn w:val="828"/>
    <w:next w:val="828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833">
    <w:name w:val="Heading 5"/>
    <w:basedOn w:val="828"/>
    <w:next w:val="828"/>
    <w:pPr>
      <w:keepLines/>
      <w:keepNext/>
      <w:spacing w:before="220" w:after="40"/>
      <w:outlineLvl w:val="4"/>
    </w:pPr>
    <w:rPr>
      <w:b/>
    </w:rPr>
  </w:style>
  <w:style w:type="paragraph" w:styleId="834">
    <w:name w:val="Heading 6"/>
    <w:basedOn w:val="828"/>
    <w:next w:val="828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table" w:styleId="838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9">
    <w:name w:val="Title"/>
    <w:basedOn w:val="828"/>
    <w:next w:val="828"/>
    <w:pPr>
      <w:keepLines/>
      <w:keepNext/>
      <w:spacing w:before="480" w:after="120"/>
    </w:pPr>
    <w:rPr>
      <w:b/>
      <w:sz w:val="72"/>
      <w:szCs w:val="72"/>
    </w:rPr>
  </w:style>
  <w:style w:type="table" w:styleId="84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49">
    <w:name w:val="Body Text"/>
    <w:basedOn w:val="828"/>
    <w:uiPriority w:val="1"/>
    <w:qFormat/>
  </w:style>
  <w:style w:type="paragraph" w:styleId="850">
    <w:name w:val="List Paragraph"/>
    <w:basedOn w:val="828"/>
    <w:uiPriority w:val="1"/>
    <w:qFormat/>
    <w:pPr>
      <w:ind w:left="116" w:firstLine="283"/>
      <w:jc w:val="both"/>
      <w:spacing w:before="105"/>
    </w:pPr>
  </w:style>
  <w:style w:type="paragraph" w:styleId="851" w:customStyle="1">
    <w:name w:val="Table Paragraph"/>
    <w:basedOn w:val="828"/>
    <w:uiPriority w:val="1"/>
    <w:qFormat/>
  </w:style>
  <w:style w:type="paragraph" w:styleId="852">
    <w:name w:val="Subtitle"/>
    <w:basedOn w:val="828"/>
    <w:next w:val="828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853" w:customStyle="1">
    <w:name w:val="StGen0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4" w:customStyle="1">
    <w:name w:val="StGen1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5" w:customStyle="1">
    <w:name w:val="StGen2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6" w:customStyle="1">
    <w:name w:val="StGen3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7" w:customStyle="1">
    <w:name w:val="StGen4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8" w:customStyle="1">
    <w:name w:val="StGen5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59" w:customStyle="1">
    <w:name w:val="StGen6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0" w:customStyle="1">
    <w:name w:val="StGen7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1" w:customStyle="1">
    <w:name w:val="StGen8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2" w:customStyle="1">
    <w:name w:val="StGen9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3" w:customStyle="1">
    <w:name w:val="StGen10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4" w:customStyle="1">
    <w:name w:val="StGen11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5" w:customStyle="1">
    <w:name w:val="StGen12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6" w:customStyle="1">
    <w:name w:val="StGen13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867" w:customStyle="1">
    <w:name w:val="StGen14"/>
    <w:basedOn w:val="84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868">
    <w:name w:val="Header"/>
    <w:basedOn w:val="828"/>
    <w:link w:val="869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69" w:customStyle="1">
    <w:name w:val="Cabeçalho Char"/>
    <w:basedOn w:val="835"/>
    <w:link w:val="868"/>
    <w:uiPriority w:val="99"/>
    <w:rPr>
      <w:lang w:eastAsia="en-US"/>
    </w:rPr>
  </w:style>
  <w:style w:type="paragraph" w:styleId="870">
    <w:name w:val="Footer"/>
    <w:basedOn w:val="828"/>
    <w:link w:val="871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71" w:customStyle="1">
    <w:name w:val="Rodapé Char"/>
    <w:basedOn w:val="835"/>
    <w:link w:val="870"/>
    <w:uiPriority w:val="99"/>
    <w:rPr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licitacoes@portodeimbituba.com.br" TargetMode="External"/><Relationship Id="rId12" Type="http://schemas.openxmlformats.org/officeDocument/2006/relationships/hyperlink" Target="http://www.portodeimbituba.com.b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UNYuA/0Y36WpauiNVtw+LfIM/A==">CgMxLjA4AHIhMXNMeHdIdV9VMkhaaU1JZUIxUTQwcTNyUzdJQ3VYYm1q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 Monteiro Albino</dc:creator>
  <cp:lastModifiedBy>Luis Fernando da Silva</cp:lastModifiedBy>
  <cp:revision>16</cp:revision>
  <dcterms:created xsi:type="dcterms:W3CDTF">2022-11-14T17:10:00Z</dcterms:created>
  <dcterms:modified xsi:type="dcterms:W3CDTF">2025-02-25T13:43:15Z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2022-11-14T00:00:00Z</vt:filetime>
  </property>
</Properties>
</file>