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72" w:rsidRDefault="00FA7F72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sz w:val="20"/>
          <w:szCs w:val="20"/>
        </w:rPr>
        <w:t>ANEXO II - J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X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f1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X - ACESSÓRIOS PINTURA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4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Sapatilha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⅛".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Sapatilha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3/16".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Sapatilha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5/16".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Grampo pesado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⅛".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Grampo pesado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3/16".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Grampo pesado em aço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inoxídável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cabo de aço de Ø 5/16".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Esticador Gancho Olhal 5/16 Aço Inoxidável 316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Ponto De Ancoragem Fixo Inoxidável Com Furação Ø 17mm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 w:rsidP="002B68D6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27" w:rsidRDefault="008B5527">
      <w:pPr>
        <w:spacing w:after="0" w:line="240" w:lineRule="auto"/>
      </w:pPr>
      <w:r>
        <w:separator/>
      </w:r>
    </w:p>
  </w:endnote>
  <w:endnote w:type="continuationSeparator" w:id="0">
    <w:p w:rsidR="008B5527" w:rsidRDefault="008B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7F72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A7F72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27" w:rsidRDefault="008B5527">
      <w:pPr>
        <w:spacing w:after="0" w:line="240" w:lineRule="auto"/>
      </w:pPr>
      <w:r>
        <w:separator/>
      </w:r>
    </w:p>
  </w:footnote>
  <w:footnote w:type="continuationSeparator" w:id="0">
    <w:p w:rsidR="008B5527" w:rsidRDefault="008B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2B68D6"/>
    <w:rsid w:val="002C1933"/>
    <w:rsid w:val="00774525"/>
    <w:rsid w:val="008B5527"/>
    <w:rsid w:val="00F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2023-05-04T17:09:00Z</dcterms:modified>
</cp:coreProperties>
</file>